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740E2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EB4EA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EB4EA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Volumentank </w:t>
      </w:r>
      <w:r w:rsidR="00EB4EA0" w:rsidRPr="00EB4EA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47.000 l / </w:t>
      </w:r>
      <w:r w:rsidRPr="00EB4EA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3A0376" w:rsidRPr="00EB4EA0">
        <w:rPr>
          <w:rFonts w:ascii="Arial" w:hAnsi="Arial" w:cs="Arial"/>
          <w:b/>
          <w:bCs/>
          <w:sz w:val="20"/>
          <w:szCs w:val="20"/>
          <w:lang w:eastAsia="de-DE"/>
        </w:rPr>
        <w:t>47.0</w:t>
      </w:r>
      <w:r w:rsidR="00EB4EA0" w:rsidRPr="00EB4EA0">
        <w:rPr>
          <w:rFonts w:ascii="Arial" w:hAnsi="Arial" w:cs="Arial"/>
          <w:b/>
          <w:bCs/>
          <w:sz w:val="20"/>
          <w:szCs w:val="20"/>
          <w:lang w:eastAsia="de-DE"/>
        </w:rPr>
        <w:t xml:space="preserve"> mit </w:t>
      </w:r>
      <w:proofErr w:type="spellStart"/>
      <w:r w:rsidR="00EB4EA0" w:rsidRPr="00EB4EA0">
        <w:rPr>
          <w:rFonts w:ascii="Arial" w:hAnsi="Arial" w:cs="Arial"/>
          <w:b/>
          <w:bCs/>
          <w:sz w:val="20"/>
          <w:szCs w:val="20"/>
          <w:lang w:eastAsia="de-DE"/>
        </w:rPr>
        <w:t>Biovitor</w:t>
      </w:r>
      <w:proofErr w:type="spellEnd"/>
      <w:r w:rsidR="00EB4EA0" w:rsidRPr="00EB4EA0">
        <w:rPr>
          <w:rFonts w:ascii="Arial" w:hAnsi="Arial" w:cs="Arial"/>
          <w:b/>
          <w:bCs/>
          <w:sz w:val="20"/>
          <w:szCs w:val="20"/>
          <w:lang w:eastAsia="de-DE"/>
        </w:rPr>
        <w:t xml:space="preserve"> DN 200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B4EA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A0376">
        <w:rPr>
          <w:rFonts w:ascii="Arial" w:hAnsi="Arial" w:cs="Arial"/>
          <w:b/>
          <w:bCs/>
          <w:sz w:val="20"/>
          <w:szCs w:val="20"/>
          <w:lang w:eastAsia="de-DE"/>
        </w:rPr>
        <w:t>47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3A0376">
        <w:rPr>
          <w:rFonts w:ascii="Arial" w:hAnsi="Arial" w:cs="Arial"/>
          <w:b/>
          <w:bCs/>
          <w:sz w:val="20"/>
          <w:szCs w:val="20"/>
          <w:lang w:eastAsia="de-DE"/>
        </w:rPr>
        <w:t>06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EB4EA0" w:rsidRDefault="00EB4EA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Zulauf / Überlauf: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 200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EB4EA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EB4EA0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200 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EB4EA0" w:rsidRDefault="00EB4EA0" w:rsidP="00EB4E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200, für Dachflächen bis 70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EB4EA0" w:rsidRDefault="00EB4EA0" w:rsidP="00EB4E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B4EA0" w:rsidRDefault="00EB4EA0" w:rsidP="00EB4E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200</w:t>
      </w:r>
    </w:p>
    <w:p w:rsidR="00EB4EA0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B4EA0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EB4EA0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EB4EA0" w:rsidRPr="009B5F23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1.800 m²</w:t>
      </w:r>
    </w:p>
    <w:p w:rsidR="00EB4EA0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700 m²</w:t>
      </w:r>
    </w:p>
    <w:p w:rsidR="00EB4EA0" w:rsidRPr="00DA38F1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B4EA0" w:rsidRDefault="00EB4EA0" w:rsidP="00EB4EA0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EB4EA0" w:rsidRDefault="00EB4EA0" w:rsidP="00EB4E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Geeignet zur Lagerung von Regenwasser</w:t>
      </w:r>
      <w:r w:rsidR="00EB4EA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Betriebswasser.             </w:t>
      </w:r>
    </w:p>
    <w:p w:rsidR="00EB4EA0" w:rsidRDefault="00EB4EA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EB4EA0" w:rsidRDefault="00EB4EA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E38D8" w:rsidRDefault="004E38D8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E38D8" w:rsidRDefault="004E38D8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lastRenderedPageBreak/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47.060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3A0376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EB4EA0">
        <w:rPr>
          <w:rFonts w:ascii="Arial" w:hAnsi="Arial" w:cs="Arial"/>
          <w:sz w:val="20"/>
          <w:szCs w:val="20"/>
          <w:lang w:eastAsia="de-DE"/>
        </w:rPr>
        <w:t>725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13.5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EB4EA0">
        <w:rPr>
          <w:rFonts w:ascii="Arial" w:hAnsi="Arial" w:cs="Arial"/>
          <w:sz w:val="20"/>
          <w:szCs w:val="20"/>
          <w:lang w:eastAsia="de-DE"/>
        </w:rPr>
        <w:t>737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EB4EA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740E2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E38D8" w:rsidRDefault="004E38D8" w:rsidP="0051608B">
      <w:pPr>
        <w:spacing w:after="0" w:line="240" w:lineRule="auto"/>
      </w:pPr>
    </w:p>
    <w:p w:rsidR="004E38D8" w:rsidRDefault="004E38D8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4E38D8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EB4EA0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EB4E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0625EC" w:rsidRPr="00EB4E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volume tank</w:t>
      </w:r>
      <w:r w:rsidR="00DC1F5E" w:rsidRPr="00EB4E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EB4EA0" w:rsidRPr="00EB4E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47.000 l /</w:t>
      </w:r>
      <w:r w:rsidRPr="00EB4E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0625EC" w:rsidRPr="00EB4EA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GVT </w:t>
      </w:r>
      <w:r w:rsidR="003A0376" w:rsidRPr="00EB4EA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47.0</w:t>
      </w:r>
      <w:r w:rsidR="00EB4EA0" w:rsidRPr="00EB4EA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with </w:t>
      </w:r>
      <w:proofErr w:type="spellStart"/>
      <w:r w:rsidR="00EB4EA0" w:rsidRPr="00EB4EA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Biovitor</w:t>
      </w:r>
      <w:proofErr w:type="spellEnd"/>
      <w:r w:rsidR="00EB4EA0" w:rsidRPr="00EB4EA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DN 200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B4EA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47.060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EB4EA0" w:rsidRDefault="00EB4EA0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inflow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/ overflow: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DN 200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</w:t>
      </w:r>
      <w:r w:rsidR="00EB4EA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740E21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200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EB4EA0" w:rsidRDefault="00EB4EA0" w:rsidP="00EB4E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200, for connectable roof surfaces of up to 700 m², with integrated calmed inlet</w:t>
      </w:r>
    </w:p>
    <w:p w:rsidR="00EB4EA0" w:rsidRPr="00150AAD" w:rsidRDefault="00EB4EA0" w:rsidP="00EB4E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B4EA0" w:rsidRDefault="00EB4EA0" w:rsidP="00EB4EA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200</w:t>
      </w:r>
    </w:p>
    <w:p w:rsidR="00EB4EA0" w:rsidRDefault="00EB4EA0" w:rsidP="00EB4EA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EB4EA0" w:rsidRDefault="00EB4EA0" w:rsidP="00EB4EA0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200,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1.80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70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EB4EA0" w:rsidRDefault="00EB4EA0" w:rsidP="00EB4EA0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EB4EA0" w:rsidRDefault="00EB4EA0" w:rsidP="00EB4EA0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EB4EA0" w:rsidRDefault="00EB4EA0" w:rsidP="00EB4EA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 xml:space="preserve">Suitable for the storage of </w:t>
      </w:r>
      <w:r w:rsidR="00EB4EA0">
        <w:rPr>
          <w:rFonts w:ascii="Arial" w:hAnsi="Arial" w:cs="Arial"/>
          <w:sz w:val="20"/>
          <w:szCs w:val="20"/>
          <w:lang w:val="en"/>
        </w:rPr>
        <w:t xml:space="preserve">rainwater and </w:t>
      </w:r>
      <w:r w:rsidRPr="00C517C0">
        <w:rPr>
          <w:rFonts w:ascii="Arial" w:hAnsi="Arial" w:cs="Arial"/>
          <w:sz w:val="20"/>
          <w:szCs w:val="20"/>
          <w:lang w:val="en"/>
        </w:rPr>
        <w:t>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EB4EA0" w:rsidRDefault="00EB4EA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E38D8" w:rsidRDefault="004E38D8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E38D8" w:rsidRPr="00C517C0" w:rsidRDefault="004E38D8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bookmarkStart w:id="0" w:name="_GoBack"/>
      <w:bookmarkEnd w:id="0"/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lastRenderedPageBreak/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sz w:val="20"/>
          <w:szCs w:val="20"/>
          <w:lang w:val="en-GB" w:eastAsia="de-DE"/>
        </w:rPr>
        <w:t>47.060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sz w:val="20"/>
          <w:szCs w:val="20"/>
          <w:lang w:val="en-GB" w:eastAsia="de-DE"/>
        </w:rPr>
        <w:t>1.</w:t>
      </w:r>
      <w:r w:rsidR="00EB4EA0">
        <w:rPr>
          <w:rFonts w:ascii="Arial" w:hAnsi="Arial" w:cs="Arial"/>
          <w:sz w:val="20"/>
          <w:szCs w:val="20"/>
          <w:lang w:val="en-GB" w:eastAsia="de-DE"/>
        </w:rPr>
        <w:t>725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3A037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13.5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EB4EA0">
        <w:rPr>
          <w:rFonts w:ascii="Arial" w:hAnsi="Arial" w:cs="Arial"/>
          <w:sz w:val="20"/>
          <w:szCs w:val="20"/>
          <w:lang w:val="en-GB" w:eastAsia="de-DE"/>
        </w:rPr>
        <w:t>737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EB4EA0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EB4EA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B4EA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40E21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E38D8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22BFE1" wp14:editId="0AB4F3BA">
          <wp:extent cx="1488440" cy="233680"/>
          <wp:effectExtent l="0" t="0" r="0" b="0"/>
          <wp:docPr id="2" name="Bild 1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A0376"/>
    <w:rsid w:val="003D79E7"/>
    <w:rsid w:val="00403DD6"/>
    <w:rsid w:val="00447CFD"/>
    <w:rsid w:val="004D07D2"/>
    <w:rsid w:val="004E38D8"/>
    <w:rsid w:val="004F7C5B"/>
    <w:rsid w:val="00513967"/>
    <w:rsid w:val="0051608B"/>
    <w:rsid w:val="00540A09"/>
    <w:rsid w:val="005F657E"/>
    <w:rsid w:val="006265AE"/>
    <w:rsid w:val="006840C4"/>
    <w:rsid w:val="006853F1"/>
    <w:rsid w:val="00704B11"/>
    <w:rsid w:val="00726A1C"/>
    <w:rsid w:val="00740E21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B4EA0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E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E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2018-03-27T08:54:00Z</dcterms:created>
  <dcterms:modified xsi:type="dcterms:W3CDTF">2021-01-15T06:58:00Z</dcterms:modified>
</cp:coreProperties>
</file>