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2605BD">
        <w:rPr>
          <w:rFonts w:ascii="Arial" w:hAnsi="Arial" w:cs="Arial"/>
          <w:b/>
          <w:color w:val="000000"/>
          <w:sz w:val="20"/>
          <w:szCs w:val="20"/>
          <w:lang w:eastAsia="de-DE"/>
        </w:rPr>
        <w:t>GreenLife Sickers</w:t>
      </w:r>
      <w:r w:rsidR="001322E0" w:rsidRPr="002605BD">
        <w:rPr>
          <w:rFonts w:ascii="Arial" w:hAnsi="Arial" w:cs="Arial"/>
          <w:b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985FC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</w:t>
      </w:r>
      <w:r w:rsidR="00252BB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</w:t>
      </w:r>
      <w:r w:rsidR="00D94D7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(gemäß DIN 1989)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Pr="000E5343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D94D72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94D72"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252BBD" w:rsidRDefault="00252BBD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Sickerschacht inkl. Schiebedom und Kunststoffabdeckung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einfacher Ein- und Ausstieg durch leiterähnliche </w:t>
      </w:r>
      <w:proofErr w:type="spellStart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Querverrippung</w:t>
      </w:r>
      <w:proofErr w:type="spellEnd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Kranösen</w:t>
      </w:r>
      <w:proofErr w:type="spellEnd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zur einfachen Montage mit einem Bagger in die Grube,  </w:t>
      </w: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Mögliche Anschlüsse: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bis max. DN 200</w:t>
      </w: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per eingeschweißtem Stutzen bis max. DN 300</w:t>
      </w:r>
    </w:p>
    <w:p w:rsidR="007F09C7" w:rsidRDefault="00252BBD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985FC9">
        <w:rPr>
          <w:rFonts w:ascii="Arial" w:hAnsi="Arial" w:cs="Arial"/>
          <w:sz w:val="20"/>
          <w:szCs w:val="20"/>
          <w:lang w:eastAsia="de-DE"/>
        </w:rPr>
        <w:t>125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985FC9">
        <w:rPr>
          <w:rFonts w:ascii="Arial" w:hAnsi="Arial" w:cs="Arial"/>
          <w:sz w:val="20"/>
          <w:szCs w:val="20"/>
          <w:lang w:eastAsia="de-DE"/>
        </w:rPr>
        <w:t>1.22</w:t>
      </w:r>
      <w:r w:rsidR="00252BBD">
        <w:rPr>
          <w:rFonts w:ascii="Arial" w:hAnsi="Arial" w:cs="Arial"/>
          <w:sz w:val="20"/>
          <w:szCs w:val="20"/>
          <w:lang w:eastAsia="de-DE"/>
        </w:rPr>
        <w:t>0</w:t>
      </w:r>
      <w:r w:rsidR="005F657E">
        <w:rPr>
          <w:rFonts w:ascii="Arial" w:hAnsi="Arial" w:cs="Arial"/>
          <w:sz w:val="20"/>
          <w:szCs w:val="20"/>
          <w:lang w:eastAsia="de-DE"/>
        </w:rPr>
        <w:t xml:space="preserve"> /</w:t>
      </w:r>
      <w:r w:rsidR="00985FC9">
        <w:rPr>
          <w:rFonts w:ascii="Arial" w:hAnsi="Arial" w:cs="Arial"/>
          <w:sz w:val="20"/>
          <w:szCs w:val="20"/>
          <w:lang w:eastAsia="de-DE"/>
        </w:rPr>
        <w:t xml:space="preserve"> 1.250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985FC9">
        <w:rPr>
          <w:rFonts w:ascii="Arial" w:hAnsi="Arial" w:cs="Arial"/>
          <w:sz w:val="20"/>
          <w:szCs w:val="20"/>
          <w:lang w:eastAsia="de-DE"/>
        </w:rPr>
        <w:t>2.</w:t>
      </w:r>
      <w:r w:rsidR="00185327">
        <w:rPr>
          <w:rFonts w:ascii="Arial" w:hAnsi="Arial" w:cs="Arial"/>
          <w:sz w:val="20"/>
          <w:szCs w:val="20"/>
          <w:lang w:eastAsia="de-DE"/>
        </w:rPr>
        <w:t>500 – 2.7</w:t>
      </w:r>
      <w:r w:rsidR="00985FC9">
        <w:rPr>
          <w:rFonts w:ascii="Arial" w:hAnsi="Arial" w:cs="Arial"/>
          <w:sz w:val="20"/>
          <w:szCs w:val="20"/>
          <w:lang w:eastAsia="de-DE"/>
        </w:rPr>
        <w:t>45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985FC9">
        <w:rPr>
          <w:rFonts w:ascii="Arial" w:hAnsi="Arial" w:cs="Arial"/>
          <w:sz w:val="20"/>
          <w:szCs w:val="20"/>
          <w:lang w:eastAsia="de-DE"/>
        </w:rPr>
        <w:t>3703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2605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605BD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2605BD" w:rsidRDefault="002605BD" w:rsidP="0051608B">
      <w:pPr>
        <w:spacing w:after="0" w:line="240" w:lineRule="auto"/>
      </w:pPr>
    </w:p>
    <w:p w:rsidR="002605BD" w:rsidRDefault="002605BD" w:rsidP="0051608B">
      <w:pPr>
        <w:spacing w:after="0" w:line="240" w:lineRule="auto"/>
      </w:pPr>
    </w:p>
    <w:bookmarkStart w:id="0" w:name="_GoBack"/>
    <w:bookmarkEnd w:id="0"/>
    <w:p w:rsidR="0051608B" w:rsidRPr="00150AAD" w:rsidRDefault="002605B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lastRenderedPageBreak/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tender</w:t>
      </w:r>
      <w:r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fldChar w:fldCharType="end"/>
      </w:r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2605B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C1F5E" w:rsidRPr="002605B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percolation </w:t>
      </w:r>
      <w:proofErr w:type="gramStart"/>
      <w:r w:rsidR="00DC1F5E" w:rsidRPr="002605B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shaft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985FC9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</w:t>
      </w:r>
      <w:r w:rsidR="00252BB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</w:t>
      </w:r>
      <w:r w:rsidR="00D94D7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</w:t>
      </w:r>
      <w:proofErr w:type="gramEnd"/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percolation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mounted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coarse filter basket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fixed with plastic chain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DN 100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32 - DN 100)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="0051608B"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 w:rsidR="00D94D72"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 w:rsidR="00D94D7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D) - kit for accessibility of trucks (G0003335)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Percolation shaft incl. telescopic dome and plastic safety cover, easy access and crane eyelet for easy lifting into the pit</w:t>
      </w: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Optional connections: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 up to max. DN 200</w:t>
      </w: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welded pipe socket</w:t>
      </w:r>
      <w:r w:rsidR="00985FC9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up to DN 300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Optional equipment versions available!</w:t>
      </w:r>
    </w:p>
    <w:p w:rsidR="00D94D72" w:rsidRPr="00150AAD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985FC9">
        <w:rPr>
          <w:rFonts w:ascii="Arial" w:hAnsi="Arial" w:cs="Arial"/>
          <w:sz w:val="20"/>
          <w:szCs w:val="20"/>
          <w:lang w:val="en-GB" w:eastAsia="de-DE"/>
        </w:rPr>
        <w:t>125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diameter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985FC9">
        <w:rPr>
          <w:rFonts w:ascii="Arial" w:hAnsi="Arial" w:cs="Arial"/>
          <w:sz w:val="20"/>
          <w:szCs w:val="20"/>
          <w:lang w:val="en-GB" w:eastAsia="de-DE"/>
        </w:rPr>
        <w:t>1.22</w:t>
      </w:r>
      <w:r w:rsidR="00252BBD">
        <w:rPr>
          <w:rFonts w:ascii="Arial" w:hAnsi="Arial" w:cs="Arial"/>
          <w:sz w:val="20"/>
          <w:szCs w:val="20"/>
          <w:lang w:val="en-GB" w:eastAsia="de-DE"/>
        </w:rPr>
        <w:t>0</w:t>
      </w:r>
      <w:r w:rsidR="005F657E">
        <w:rPr>
          <w:rFonts w:ascii="Arial" w:hAnsi="Arial" w:cs="Arial"/>
          <w:sz w:val="20"/>
          <w:szCs w:val="20"/>
          <w:lang w:val="en-GB" w:eastAsia="de-DE"/>
        </w:rPr>
        <w:t xml:space="preserve"> /</w:t>
      </w:r>
      <w:r w:rsidR="00985FC9">
        <w:rPr>
          <w:rFonts w:ascii="Arial" w:hAnsi="Arial" w:cs="Arial"/>
          <w:sz w:val="20"/>
          <w:szCs w:val="20"/>
          <w:lang w:val="en-GB" w:eastAsia="de-DE"/>
        </w:rPr>
        <w:t xml:space="preserve"> 1.250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>
        <w:rPr>
          <w:rFonts w:ascii="Arial" w:hAnsi="Arial" w:cs="Arial"/>
          <w:sz w:val="20"/>
          <w:szCs w:val="20"/>
          <w:lang w:val="en-GB" w:eastAsia="de-DE"/>
        </w:rPr>
        <w:t>:</w:t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185327">
        <w:rPr>
          <w:rFonts w:ascii="Arial" w:hAnsi="Arial" w:cs="Arial"/>
          <w:sz w:val="20"/>
          <w:szCs w:val="20"/>
          <w:lang w:val="en-GB" w:eastAsia="de-DE"/>
        </w:rPr>
        <w:t>2.500 – 2.7</w:t>
      </w:r>
      <w:r w:rsidR="00985FC9">
        <w:rPr>
          <w:rFonts w:ascii="Arial" w:hAnsi="Arial" w:cs="Arial"/>
          <w:sz w:val="20"/>
          <w:szCs w:val="20"/>
          <w:lang w:val="en-GB" w:eastAsia="de-DE"/>
        </w:rPr>
        <w:t>45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>
        <w:rPr>
          <w:rFonts w:ascii="Arial" w:hAnsi="Arial" w:cs="Arial"/>
          <w:sz w:val="20"/>
          <w:szCs w:val="20"/>
          <w:lang w:val="en-GB" w:eastAsia="de-DE"/>
        </w:rPr>
        <w:t>:</w:t>
      </w:r>
      <w:r w:rsidR="00985FC9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>
        <w:rPr>
          <w:rFonts w:ascii="Arial" w:hAnsi="Arial" w:cs="Arial"/>
          <w:sz w:val="20"/>
          <w:szCs w:val="20"/>
          <w:lang w:val="en-GB" w:eastAsia="de-DE"/>
        </w:rPr>
        <w:tab/>
        <w:t>G0003703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2605B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605B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605BD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2605BD" w:rsidP="0051608B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85327"/>
    <w:rsid w:val="001E6361"/>
    <w:rsid w:val="002467B3"/>
    <w:rsid w:val="00252BBD"/>
    <w:rsid w:val="002605BD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B03182"/>
    <w:rsid w:val="00B2678B"/>
    <w:rsid w:val="00C463D6"/>
    <w:rsid w:val="00CA52B2"/>
    <w:rsid w:val="00D355DD"/>
    <w:rsid w:val="00D36EFD"/>
    <w:rsid w:val="00D602B7"/>
    <w:rsid w:val="00D94D72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2016-07-25T11:58:00Z</cp:lastPrinted>
  <dcterms:created xsi:type="dcterms:W3CDTF">2016-08-02T06:54:00Z</dcterms:created>
  <dcterms:modified xsi:type="dcterms:W3CDTF">2021-02-02T14:44:00Z</dcterms:modified>
</cp:coreProperties>
</file>