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WI 2.3-2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77F81">
        <w:rPr>
          <w:rFonts w:ascii="Arial" w:eastAsia="Times New Roman" w:hAnsi="Arial" w:cs="Arial"/>
          <w:sz w:val="20"/>
          <w:szCs w:val="20"/>
          <w:lang w:eastAsia="de-DE"/>
        </w:rPr>
        <w:t xml:space="preserve">   1.0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3D3B62" w:rsidRPr="004C4892" w:rsidRDefault="00077F8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Länge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D3B6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1.24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Default="00077F8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D3B6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72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077F81" w:rsidRPr="004C4892" w:rsidRDefault="00077F8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Höhe: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1.550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</w:t>
      </w:r>
      <w:r w:rsidR="00077F81">
        <w:rPr>
          <w:rFonts w:ascii="Arial" w:eastAsia="Times New Roman" w:hAnsi="Arial" w:cs="Arial"/>
          <w:sz w:val="20"/>
          <w:szCs w:val="20"/>
          <w:lang w:eastAsia="de-DE"/>
        </w:rPr>
        <w:t xml:space="preserve">   64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1.000 l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1.240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720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1.550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64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60A4" w:rsidRDefault="00C060A4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1.0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1.240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720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1.550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64 kg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Pr="004C4892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1.000 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1.240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720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1.550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64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Leergewicht der Anlage: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4</w:t>
      </w:r>
      <w:r w:rsidR="00077F81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986348">
        <w:rPr>
          <w:rFonts w:ascii="Arial" w:eastAsia="Times New Roman" w:hAnsi="Arial" w:cs="Arial"/>
          <w:sz w:val="20"/>
          <w:szCs w:val="20"/>
          <w:lang w:eastAsia="de-DE"/>
        </w:rPr>
        <w:t>ht der Anlage im Betrieb:</w:t>
      </w:r>
      <w:r w:rsidR="0098634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86348">
        <w:rPr>
          <w:rFonts w:ascii="Arial" w:eastAsia="Times New Roman" w:hAnsi="Arial" w:cs="Arial"/>
          <w:sz w:val="20"/>
          <w:szCs w:val="20"/>
          <w:lang w:eastAsia="de-DE"/>
        </w:rPr>
        <w:tab/>
        <w:t>4.97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2396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60A4" w:rsidRDefault="00C060A4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60A4" w:rsidRDefault="00C060A4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60A4" w:rsidRDefault="00C060A4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60A4" w:rsidRPr="004C4892" w:rsidRDefault="00C060A4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C060A4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C060A4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E-Mail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projects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C060A4" w:rsidRDefault="00C060A4" w:rsidP="0051608B">
      <w:pPr>
        <w:spacing w:after="0" w:line="240" w:lineRule="auto"/>
      </w:pPr>
    </w:p>
    <w:p w:rsidR="0051608B" w:rsidRPr="003D3B62" w:rsidRDefault="00C060A4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GWI 2.3-2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C060A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F335C8" w:rsidRP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2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077F8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1.0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3D3B62" w:rsidRPr="00957D5E" w:rsidRDefault="00077F8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>1.240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Default="00077F8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720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077F81" w:rsidRPr="00957D5E" w:rsidRDefault="00077F8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1.550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</w:t>
      </w:r>
      <w:r w:rsidR="00077F81">
        <w:rPr>
          <w:rFonts w:ascii="Arial" w:eastAsia="Times New Roman" w:hAnsi="Arial" w:cs="Arial"/>
          <w:sz w:val="20"/>
          <w:szCs w:val="20"/>
          <w:lang w:val="en-GB" w:eastAsia="de-DE"/>
        </w:rPr>
        <w:t>64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1.000 l</w:t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1.240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720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1.550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64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1.0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1.240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720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1.550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64 kg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F335C8" w:rsidRPr="00957D5E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1.000 l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1.240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720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1.550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64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4</w:t>
      </w:r>
      <w:r w:rsidR="00986348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.9</w:t>
      </w:r>
      <w:r w:rsidR="00986348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2396</w:t>
      </w: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C060A4" w:rsidRDefault="00C060A4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C060A4" w:rsidRPr="003D3B62" w:rsidRDefault="00C060A4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C060A4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BF48EA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C060A4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C060A4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77F81"/>
    <w:rsid w:val="000D2E4B"/>
    <w:rsid w:val="001322E0"/>
    <w:rsid w:val="00150AAD"/>
    <w:rsid w:val="001E6361"/>
    <w:rsid w:val="002467B3"/>
    <w:rsid w:val="00252BBD"/>
    <w:rsid w:val="003D3B62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33323"/>
    <w:rsid w:val="008F2057"/>
    <w:rsid w:val="00957D5E"/>
    <w:rsid w:val="00985FC9"/>
    <w:rsid w:val="00986348"/>
    <w:rsid w:val="00A24C36"/>
    <w:rsid w:val="00A255C9"/>
    <w:rsid w:val="00A35F26"/>
    <w:rsid w:val="00A74821"/>
    <w:rsid w:val="00B03182"/>
    <w:rsid w:val="00B1727B"/>
    <w:rsid w:val="00B2678B"/>
    <w:rsid w:val="00B30A42"/>
    <w:rsid w:val="00BB5A77"/>
    <w:rsid w:val="00BF48EA"/>
    <w:rsid w:val="00C060A4"/>
    <w:rsid w:val="00C463D6"/>
    <w:rsid w:val="00CA52B2"/>
    <w:rsid w:val="00CB7144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EF5ADC"/>
    <w:rsid w:val="00F2580A"/>
    <w:rsid w:val="00F335C8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7</cp:revision>
  <cp:lastPrinted>2016-07-25T11:58:00Z</cp:lastPrinted>
  <dcterms:created xsi:type="dcterms:W3CDTF">2016-10-04T12:59:00Z</dcterms:created>
  <dcterms:modified xsi:type="dcterms:W3CDTF">2021-01-15T10:40:00Z</dcterms:modified>
</cp:coreProperties>
</file>