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C453D0" w:rsidRPr="0036602A" w:rsidRDefault="00C453D0" w:rsidP="00C453D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1.00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19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20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C453D0" w:rsidRPr="00DA38F1" w:rsidRDefault="00C453D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3C7DE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C453D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453D0" w:rsidRPr="00C453D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1.000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1.1</w:t>
      </w:r>
    </w:p>
    <w:p w:rsidR="003C7DEB" w:rsidRDefault="00C453D0" w:rsidP="003C7DE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3C7DE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3C7DE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C7DE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C7DE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1.100</w:t>
      </w:r>
      <w:r w:rsidR="003C7DEB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3C7DEB" w:rsidRPr="00C453D0" w:rsidRDefault="00C453D0" w:rsidP="003C7DE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3C7DEB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C453D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3C7DEB" w:rsidRPr="00C453D0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="003C7DEB" w:rsidRPr="00C453D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3C7DEB" w:rsidRDefault="003C7DEB" w:rsidP="003C7DE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3C7D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C453D0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C453D0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C453D0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E27F5D" w:rsidRPr="008F6020">
        <w:rPr>
          <w:rFonts w:ascii="Arial" w:hAnsi="Arial" w:cs="Arial"/>
          <w:sz w:val="20"/>
          <w:szCs w:val="20"/>
        </w:rPr>
        <w:t>450 – 695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mm stufenlos ausziehbar und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E27F5D">
        <w:rPr>
          <w:rFonts w:ascii="Arial" w:hAnsi="Arial" w:cs="Arial"/>
          <w:sz w:val="20"/>
          <w:szCs w:val="20"/>
        </w:rPr>
        <w:t>)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C453D0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C453D0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DB2AC7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1.00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C453D0">
        <w:rPr>
          <w:rFonts w:ascii="Arial" w:hAnsi="Arial" w:cs="Arial"/>
          <w:sz w:val="20"/>
          <w:szCs w:val="20"/>
          <w:lang w:eastAsia="de-DE"/>
        </w:rPr>
        <w:t>80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D347D">
        <w:rPr>
          <w:rFonts w:ascii="Arial" w:hAnsi="Arial" w:cs="Arial"/>
          <w:sz w:val="20"/>
          <w:szCs w:val="20"/>
          <w:lang w:eastAsia="de-DE"/>
        </w:rPr>
        <w:t xml:space="preserve">1.200 / </w:t>
      </w:r>
      <w:r w:rsidR="002E36B3">
        <w:rPr>
          <w:rFonts w:ascii="Arial" w:hAnsi="Arial" w:cs="Arial"/>
          <w:sz w:val="20"/>
          <w:szCs w:val="20"/>
          <w:lang w:eastAsia="de-DE"/>
        </w:rPr>
        <w:t>1.240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2E36B3">
        <w:rPr>
          <w:rFonts w:ascii="Arial" w:hAnsi="Arial" w:cs="Arial"/>
          <w:sz w:val="20"/>
          <w:szCs w:val="20"/>
          <w:lang w:eastAsia="de-DE"/>
        </w:rPr>
        <w:t>1.530 – 1.775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3C7DEB" w:rsidRDefault="003C7DEB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C453D0">
        <w:rPr>
          <w:rFonts w:ascii="Arial" w:hAnsi="Arial" w:cs="Arial"/>
          <w:sz w:val="20"/>
          <w:szCs w:val="20"/>
          <w:lang w:eastAsia="de-DE"/>
        </w:rPr>
        <w:t>G</w:t>
      </w:r>
      <w:r w:rsidR="00C453D0" w:rsidRPr="00C453D0">
        <w:rPr>
          <w:rFonts w:ascii="Arial" w:hAnsi="Arial" w:cs="Arial"/>
          <w:sz w:val="20"/>
          <w:szCs w:val="20"/>
          <w:lang w:eastAsia="de-DE"/>
        </w:rPr>
        <w:t>0005523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06C94" w:rsidRDefault="00E06C9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06C94" w:rsidRDefault="00E06C9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53D0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53D0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53D0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5663" w:rsidRDefault="00FC566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C5663" w:rsidRDefault="00FC566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53D0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53D0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53D0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Pr="00E06C94" w:rsidRDefault="003C7DEB" w:rsidP="003C7DEB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>Vortex</w:t>
      </w:r>
      <w:proofErr w:type="spellEnd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-System </w:t>
      </w:r>
      <w:proofErr w:type="spellStart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proofErr w:type="spellEnd"/>
      <w:r w:rsidRPr="00E06C9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1.350 MA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A119813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Pumpengehäuse und Motorgehäuse aus Edelstahl AISI 304. Laufrad aus</w:t>
      </w:r>
      <w:r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Polypropylen mit Fiberglas verstärkt. Pumpenfuß und Laufradgehäuse in Glasfaser verstärktem Polypropylen. Motorwelle aus Edelstahl AISI 420. Gleitringdichtung in Siliziumkarbid und Aluminiumoxid. Wellendichtring aus NBR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1,0 KW/h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17,5 m³/h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1/2“ IG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 mm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3C7DEB" w:rsidRDefault="003C7DEB" w:rsidP="003C7DE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3C7DEB" w:rsidRDefault="003C7DE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C7DEB" w:rsidRPr="00DA38F1" w:rsidRDefault="003C7DE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453D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C5663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E06C94" w:rsidRDefault="00E06C94"/>
    <w:p w:rsidR="00D602B7" w:rsidRDefault="00D602B7">
      <w:r>
        <w:t>Menge: …………</w:t>
      </w:r>
      <w:r>
        <w:tab/>
        <w:t>Einheit:</w:t>
      </w:r>
      <w:bookmarkStart w:id="0" w:name="_GoBack"/>
      <w:bookmarkEnd w:id="0"/>
      <w:r>
        <w:t xml:space="preserve">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13" w:rsidRDefault="001B1013" w:rsidP="0051608B">
      <w:pPr>
        <w:spacing w:after="0" w:line="240" w:lineRule="auto"/>
      </w:pPr>
      <w:r>
        <w:separator/>
      </w:r>
    </w:p>
  </w:endnote>
  <w:endnote w:type="continuationSeparator" w:id="0">
    <w:p w:rsidR="001B1013" w:rsidRDefault="001B1013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13" w:rsidRDefault="001B1013" w:rsidP="0051608B">
      <w:pPr>
        <w:spacing w:after="0" w:line="240" w:lineRule="auto"/>
      </w:pPr>
      <w:r>
        <w:separator/>
      </w:r>
    </w:p>
  </w:footnote>
  <w:footnote w:type="continuationSeparator" w:id="0">
    <w:p w:rsidR="001B1013" w:rsidRDefault="001B1013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FC5663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B1013"/>
    <w:rsid w:val="001E6361"/>
    <w:rsid w:val="002467B3"/>
    <w:rsid w:val="002E36B3"/>
    <w:rsid w:val="00313286"/>
    <w:rsid w:val="003C7DEB"/>
    <w:rsid w:val="003D347D"/>
    <w:rsid w:val="003D79E7"/>
    <w:rsid w:val="00403DD6"/>
    <w:rsid w:val="004313B8"/>
    <w:rsid w:val="00482AD9"/>
    <w:rsid w:val="004D07D2"/>
    <w:rsid w:val="004D16A6"/>
    <w:rsid w:val="004F7C5B"/>
    <w:rsid w:val="0051608B"/>
    <w:rsid w:val="0055030A"/>
    <w:rsid w:val="005962EA"/>
    <w:rsid w:val="006265AE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2458E"/>
    <w:rsid w:val="00832309"/>
    <w:rsid w:val="008C68F1"/>
    <w:rsid w:val="008F2057"/>
    <w:rsid w:val="00A24C36"/>
    <w:rsid w:val="00A255C9"/>
    <w:rsid w:val="00A35F26"/>
    <w:rsid w:val="00B03182"/>
    <w:rsid w:val="00B1148E"/>
    <w:rsid w:val="00B2678B"/>
    <w:rsid w:val="00B611BE"/>
    <w:rsid w:val="00C453D0"/>
    <w:rsid w:val="00C463D6"/>
    <w:rsid w:val="00CA52B2"/>
    <w:rsid w:val="00D355DD"/>
    <w:rsid w:val="00D36EFD"/>
    <w:rsid w:val="00D602B7"/>
    <w:rsid w:val="00DA38F1"/>
    <w:rsid w:val="00DB15F8"/>
    <w:rsid w:val="00DB2AC7"/>
    <w:rsid w:val="00DC1F5E"/>
    <w:rsid w:val="00E05EE7"/>
    <w:rsid w:val="00E06C94"/>
    <w:rsid w:val="00E27F5D"/>
    <w:rsid w:val="00E96BCA"/>
    <w:rsid w:val="00ED2C12"/>
    <w:rsid w:val="00F5567A"/>
    <w:rsid w:val="00F615FC"/>
    <w:rsid w:val="00F75D5C"/>
    <w:rsid w:val="00F87180"/>
    <w:rsid w:val="00F971B5"/>
    <w:rsid w:val="00FB37BD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3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3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2019-08-28T09:06:00Z</dcterms:created>
  <dcterms:modified xsi:type="dcterms:W3CDTF">2021-03-08T07:59:00Z</dcterms:modified>
</cp:coreProperties>
</file>